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70" w:before="290"/>
      </w:pPr>
      <w:r>
        <w:t xml:space="preserve">Финансовая модель ROI и NPV (ROI/NPV Model)</w:t>
      </w:r>
    </w:p>
    <w:p>
      <w:pPr>
        <w:spacing w:after="180"/>
      </w:pPr>
      <w:r>
        <w:t xml:space="preserve">Сценарии инвестиций и дисконтированные денежные потоки</w:t>
      </w:r>
    </w:p>
    <w:p>
      <w:pPr>
        <w:spacing w:after="130"/>
      </w:pPr>
      <w:r>
        <w:t xml:space="preserve">Оценка инвестиционных сценариев с формулами ROI и NPV</w:t>
      </w:r>
    </w:p>
    <w:p>
      <w:pPr>
        <w:pStyle w:val="Heading2"/>
        <w:keepNext/>
        <w:spacing w:after="170" w:before="270"/>
      </w:pPr>
      <w:r>
        <w:t xml:space="preserve">1. Паспорт проекта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53"/>
        <w:gridCol w:w="9285"/>
      </w:tblGrid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Проект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Внедрение ERP «Горизонт»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Руководитель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Кристина Смирнова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Дата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2026-10-24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Единица денежных сумм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руб.</w:t>
            </w:r>
          </w:p>
        </w:tc>
      </w:tr>
    </w:tbl>
    <w:p>
      <w:pPr>
        <w:pStyle w:val="Heading2"/>
        <w:keepNext/>
        <w:spacing w:after="170" w:before="270"/>
      </w:pPr>
      <w:r>
        <w:t xml:space="preserve">2. Как пользоваться</w:t>
      </w:r>
    </w:p>
    <w:p>
      <w:pPr>
        <w:spacing w:after="130"/>
      </w:pPr>
      <w:r>
        <w:t xml:space="preserve">Введите первоначальные инвестиции, три ежегодных денежный потока и ставку дисконтирования. ROI здесь не дисконтирован; NPV учитывает стоимость денег во времени. Все денежные суммы вводятся в единице измерения, указанной в паспорте проекта (например, руб., тыс. руб., USD или EUR); проценты являются безразмерными.</w:t>
      </w:r>
    </w:p>
    <w:p>
      <w:pPr>
        <w:pStyle w:val="Heading2"/>
        <w:keepNext/>
        <w:pageBreakBefore/>
        <w:spacing w:after="170" w:before="270"/>
      </w:pPr>
      <w:r>
        <w:t xml:space="preserve">3. Сценарии инвестиций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40"/>
        <w:gridCol w:w="1682"/>
        <w:gridCol w:w="1481"/>
        <w:gridCol w:w="1346"/>
        <w:gridCol w:w="1346"/>
        <w:gridCol w:w="1346"/>
        <w:gridCol w:w="1548"/>
        <w:gridCol w:w="1346"/>
        <w:gridCol w:w="1211"/>
        <w:gridCol w:w="1346"/>
        <w:gridCol w:w="1346"/>
      </w:tblGrid>
      <w:tr>
        <w:trPr>
          <w:cantSplit/>
          <w:tblHeader/>
          <w:trHeight w:val="600" w:hRule="atLeast"/>
        </w:trPr>
        <w:tc>
          <w:tcPr>
            <w:tcW w:type="dxa" w:w="74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16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Сценарий</w:t>
            </w:r>
          </w:p>
        </w:tc>
        <w:tc>
          <w:tcPr>
            <w:tcW w:type="dxa" w:w="14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Инвестиция (t0)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Поток год 1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Поток год 2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Поток год 3</w:t>
            </w:r>
          </w:p>
        </w:tc>
        <w:tc>
          <w:tcPr>
            <w:tcW w:type="dxa" w:w="154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Ставка дисконтирования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Итого потоки</w:t>
            </w:r>
          </w:p>
        </w:tc>
        <w:tc>
          <w:tcPr>
            <w:tcW w:type="dxa" w:w="121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ROI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NPV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Статус</w:t>
            </w:r>
          </w:p>
        </w:tc>
      </w:tr>
      <w:tr>
        <w:trPr>
          <w:cantSplit/>
          <w:trHeight w:val="680" w:hRule="atLeast"/>
        </w:trPr>
        <w:tc>
          <w:tcPr>
            <w:tcW w:type="dxa" w:w="74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INV-01</w:t>
            </w:r>
          </w:p>
        </w:tc>
        <w:tc>
          <w:tcPr>
            <w:tcW w:type="dxa" w:w="16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Базовый</w:t>
            </w:r>
          </w:p>
        </w:tc>
        <w:tc>
          <w:tcPr>
            <w:tcW w:type="dxa" w:w="14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1 800 000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600 000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850 000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1 100 000</w:t>
            </w:r>
          </w:p>
        </w:tc>
        <w:tc>
          <w:tcPr>
            <w:tcW w:type="dxa" w:w="154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12%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2 550 000</w:t>
            </w:r>
          </w:p>
        </w:tc>
        <w:tc>
          <w:tcPr>
            <w:tcW w:type="dxa" w:w="121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41,7%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196 287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На проверке</w:t>
            </w:r>
          </w:p>
        </w:tc>
      </w:tr>
      <w:tr>
        <w:trPr>
          <w:cantSplit/>
          <w:trHeight w:val="680" w:hRule="atLeast"/>
        </w:trPr>
        <w:tc>
          <w:tcPr>
            <w:tcW w:type="dxa" w:w="74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INV-02</w:t>
            </w:r>
          </w:p>
        </w:tc>
        <w:tc>
          <w:tcPr>
            <w:tcW w:type="dxa" w:w="16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Консервативный</w:t>
            </w:r>
          </w:p>
        </w:tc>
        <w:tc>
          <w:tcPr>
            <w:tcW w:type="dxa" w:w="14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1 800 000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400 000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650 000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900 000</w:t>
            </w:r>
          </w:p>
        </w:tc>
        <w:tc>
          <w:tcPr>
            <w:tcW w:type="dxa" w:w="154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12%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1 950 000</w:t>
            </w:r>
          </w:p>
        </w:tc>
        <w:tc>
          <w:tcPr>
            <w:tcW w:type="dxa" w:w="121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8,3%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-284 079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Предложено</w:t>
            </w:r>
          </w:p>
        </w:tc>
      </w:tr>
      <w:tr>
        <w:trPr>
          <w:cantSplit/>
          <w:trHeight w:val="680" w:hRule="atLeast"/>
        </w:trPr>
        <w:tc>
          <w:tcPr>
            <w:tcW w:type="dxa" w:w="74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INV-03</w:t>
            </w:r>
          </w:p>
        </w:tc>
        <w:tc>
          <w:tcPr>
            <w:tcW w:type="dxa" w:w="16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Оптимистичный</w:t>
            </w:r>
          </w:p>
        </w:tc>
        <w:tc>
          <w:tcPr>
            <w:tcW w:type="dxa" w:w="14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1 800 000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800 000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1 000 000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1 400 000</w:t>
            </w:r>
          </w:p>
        </w:tc>
        <w:tc>
          <w:tcPr>
            <w:tcW w:type="dxa" w:w="154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12%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3 200 000</w:t>
            </w:r>
          </w:p>
        </w:tc>
        <w:tc>
          <w:tcPr>
            <w:tcW w:type="dxa" w:w="121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77,8%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707 972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Предложено</w:t>
            </w:r>
          </w:p>
        </w:tc>
      </w:tr>
      <w:tr>
        <w:trPr>
          <w:cantSplit/>
          <w:trHeight w:val="680" w:hRule="atLeast"/>
        </w:trPr>
        <w:tc>
          <w:tcPr>
            <w:tcW w:type="dxa" w:w="74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1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74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1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74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1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74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1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sectPr>
      <w:headerReference w:type="default" r:id="rId6"/>
      <w:footerReference w:type="default" r:id="rId7"/>
      <w:pgSz w:w="16838" w:h="11906" w:orient="portrait"/>
      <w:pgMar w:top="1170" w:right="1050" w:bottom="1080" w:left="10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D9E7" w:sz="4"/>
      </w:pBdr>
      <w:spacing w:before="90"/>
      <w:jc w:val="center"/>
    </w:pPr>
    <w:r>
      <w:rPr>
        <w:color w:val="6D7B8A"/>
        <w:sz w:val="17"/>
        <w:szCs w:val="17"/>
      </w:rPr>
      <w:t xml:space="preserve">PMHub.ru   |  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PAGE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/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NUMPAGES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  |   v2 | Финансовая модель ROI и NPV (ROI/NPV Model)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D9E7" w:sz="4"/>
      </w:pBdr>
      <w:spacing w:after="100"/>
    </w:pPr>
    <w:r>
      <w:rPr>
        <w:b/>
        <w:bCs/>
        <w:color w:val="168AA1"/>
        <w:sz w:val="17"/>
        <w:szCs w:val="17"/>
      </w:rPr>
      <w:t xml:space="preserve">PMHub.ru   |   УПРАВЛЕНИЕ ПРОЕКТАМИ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3549"/>
        <w:sz w:val="22"/>
        <w:szCs w:val="22"/>
      </w:rPr>
    </w:rPrDefault>
    <w:pPrDefault>
      <w:pPr>
        <w:spacing w:line="31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rPr>
      <w:rFonts w:ascii="Arial" w:cs="Arial" w:eastAsia="Arial" w:hAnsi="Arial"/>
      <w:b/>
      <w:bCs/>
      <w:color w:val="17365D"/>
      <w:sz w:val="38"/>
      <w:szCs w:val="3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8558A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Финансовая модель ROI и NPV (ROI/NPV Model)</dc:title>
  <dc:subject>Сценарии инвестиций и дисконтированные денежные потоки</dc:subject>
  <dc:creator>PMHub</dc:creator>
  <cp:keywords>PMHub.ru, Финансовая модель ROI и NPV (ROI/NPV Model), финансы проектов, roi npv model, шаблон управления проектами</cp:keywords>
  <dc:description>Оценка инвестиционных сценариев с формулами ROI и NPV</dc:description>
  <cp:lastModifiedBy>PMHub Document Engine</cp:lastModifiedBy>
  <cp:revision>1</cp:revision>
  <dcterms:created xsi:type="dcterms:W3CDTF">2026-10-31T18:55:00.992Z</dcterms:created>
  <dcterms:modified xsi:type="dcterms:W3CDTF">2026-10-31T18:55:00.992Z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